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A2" w:rsidRPr="003733A2" w:rsidRDefault="003733A2" w:rsidP="003733A2">
      <w:pPr>
        <w:shd w:val="clear" w:color="auto" w:fill="EEEEEE"/>
        <w:spacing w:line="240" w:lineRule="auto"/>
        <w:jc w:val="center"/>
        <w:rPr>
          <w:rFonts w:ascii="Tahoma" w:eastAsia="Times New Roman" w:hAnsi="Tahoma" w:cs="Tahoma"/>
          <w:b/>
          <w:bCs/>
          <w:color w:val="000000"/>
          <w:sz w:val="21"/>
          <w:szCs w:val="21"/>
          <w:lang w:eastAsia="ru-RU"/>
        </w:rPr>
      </w:pPr>
      <w:r w:rsidRPr="003733A2">
        <w:rPr>
          <w:rFonts w:ascii="Tahoma" w:eastAsia="Times New Roman" w:hAnsi="Tahoma" w:cs="Tahoma"/>
          <w:b/>
          <w:bCs/>
          <w:color w:val="000000"/>
          <w:sz w:val="21"/>
          <w:szCs w:val="21"/>
          <w:lang w:eastAsia="ru-RU"/>
        </w:rPr>
        <w:t>РЕШЕНИЕ от 22 сентября 2022 года № 15 «Об утверждении Положения об охране зеленого фонда на территории муниципального образования «Ольховатскийсельсовет» Поныровского районаКурской области»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color w:val="000000"/>
          <w:sz w:val="18"/>
          <w:szCs w:val="18"/>
          <w:lang w:eastAsia="ru-RU"/>
        </w:rPr>
        <w:t>СОБРАНИЕ ДЕПУТАТОВ</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color w:val="000000"/>
          <w:sz w:val="18"/>
          <w:szCs w:val="18"/>
          <w:lang w:eastAsia="ru-RU"/>
        </w:rPr>
        <w:t>ОЛЬХОВАТСКОГО  СЕЛЬСОВЕТА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color w:val="000000"/>
          <w:sz w:val="18"/>
          <w:szCs w:val="18"/>
          <w:lang w:eastAsia="ru-RU"/>
        </w:rPr>
        <w:t>ПОНЫРОВСКОГО РАЙОНА КУРСКОЙ  ОБЛАСТИ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color w:val="000000"/>
          <w:sz w:val="18"/>
          <w:szCs w:val="18"/>
          <w:lang w:eastAsia="ru-RU"/>
        </w:rPr>
        <w:t>                 РЕШЕНИЕ</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color w:val="000000"/>
          <w:sz w:val="18"/>
          <w:szCs w:val="18"/>
          <w:lang w:eastAsia="ru-RU"/>
        </w:rPr>
        <w:t>от   22  сентября  2022 года № 15</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b/>
          <w:bCs/>
          <w:i/>
          <w:iCs/>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«Об утверждении Положения об охране зеленого фонда на территории муниципального образования «Ольховатскийсельсовет» Поныровского районаКурской области»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соответствии со статьей 61 Федерального закона от 10.01.2002 № 7-ФЗ «Об охране окружающей среды», статьями 14 - 17 Федерального закона от 06.10.2003 № 1Э1-ФЗ «Об общих принципах организации местного самоуправления в Российской Федерации», Уставом муниципального образования«Ольховатский сельсовет»Поныровского района Собрание депутатов Ольховатскогосельсовета Поныровского района  РЕШИЛО:</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1.Утвердить прилагаемое Положение об охране зеленого фонда на территории муниципального образования «Ольховатскийсельсовет»Поныровского района  Курской области.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2.Опубликовать (обнародовать) настоящее решение в официальных средствах массовой информации муниципального образования «Ольховатскийсельсовет»Поныровского района и в информационно-телекоммуникационной сети Интернет на официальном сайте муниципального образования «Ольховатскийсельсовет»Поныровского района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3.Настоящее решение вступает в силу со дня его официального опубликования (обнародования).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4.Контроль за исполнением настоящего решения возложить на главу сельсовета Бирюкову Е.Н..</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Председатель Собрания депутатов</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Ольховатскогосельсовета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Поныровского района                                                                О.Н.Зеленова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Глава Ольховатскогосельсовета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Поныровского района                                                              Е.Н.Бирюкова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Приложение</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к Решению Собрания депутатов</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Ольховатского  сельсовета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Поныровского района Курской области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от 22.09.2022года № 15</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ПОЛОЖЕНИЕ</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ОБ ОХРАНЕ ЗЕЛЕНОГО ФОНДА НА ТЕРРИТОРИИ МУНИЦИПАЛЬНОГО ОБРАЗОВАНИЯ « ОЛЬХОВАТСИЙ СЕЛЬСОВЕТ» ПОНЫРОВСКОГО РАЙОНА КУРСКОЙ ОБЛАСТИ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Положение об охране зеленого фонда на территории муниципального образования «Ольховатскийсельсовет»Поныровского района Курской области (далее - Положение) регулирует отдельные отношения в сфере охраны зеленого фонда муниципального образования «Ольховатскийсельсовет»Поныровского района, разработано в целях реализации прав граждан на благоприятную окружающую среду.</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Нормы Положения распространяются на земельные участки, находящиеся в муниципальной собственности муниципального образования«Ольховатскийсельсовет»Поныровского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Статья 1. Основные понятия.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настоящем Положении используются следующие основные понятия: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lastRenderedPageBreak/>
        <w:t>2)          зеленые насаждения - древесно-кустарниковая и травянистая растительность естественного и искусственного происхождения;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4)   уничтожение зеленых насаждений - повреждение зеленых насаждений, повлекшее прекращение их роста;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5)       компенсационное озеленение - воспроизводство зеленого фонда взамен уничтоженного или поврежденного;</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6)   компенсационная стоимость - денежное выражение ценности зеленого фонда, выплачиваемая лицом в бюджет муниципального образования «Ольховатскийсельсовет»Поныровского района.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Статья 2. Полномочия Администрации муниципального образования «Ольховатскийсельсовет»Поныровского района в сфере охраны зеленого фонда.</w:t>
      </w:r>
    </w:p>
    <w:p w:rsidR="003733A2" w:rsidRPr="003733A2" w:rsidRDefault="003733A2" w:rsidP="003733A2">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соответствии с частью 2 статьи 61 Федерального закона от 10.01.2002 № 7-ФЗ «Об охране окружающей среды» Администрация муниципального образования «Ольховатскийсельсовет»Поныровского района(далее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733A2" w:rsidRPr="003733A2" w:rsidRDefault="003733A2" w:rsidP="003733A2">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целях исполнения предоставленных полномочий Администрацией реализуются следующие мероприятия: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1)      ведение учета и оценки состояния зеленого фонда на территории муниципального образования «Ольховатскийсельсовет»Поныровского района;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2)               выдача разрешений на вырубку зеленых насаждений (далее - разрешение);</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4)   охрана зеленых насаждений;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5)    контроль за созданием, в том числе компенсационным озеленением, содержанием зеленых насаждений на территории муниципального образования (наименование муниципального образования) в соответствии с Положением.</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Статья 3. Учет и оценка состояния зеленых насаждений. Реестр озелененных территорий общего пользования.</w:t>
      </w:r>
    </w:p>
    <w:p w:rsidR="003733A2" w:rsidRPr="003733A2" w:rsidRDefault="003733A2" w:rsidP="003733A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Учет (инвентаризация) зеленых насаждений на территории муниципального образования (наименование муниципального образования)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3733A2" w:rsidRPr="003733A2" w:rsidRDefault="003733A2" w:rsidP="003733A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Оценка состояния зеленых насаждений производится в целях определения мер по уходу, восстановлению и созданию новых зеленых насаждений.</w:t>
      </w:r>
    </w:p>
    <w:p w:rsidR="003733A2" w:rsidRPr="003733A2" w:rsidRDefault="003733A2" w:rsidP="003733A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«Ольховатскийсельсовет»Поныровского района по форме, утвержденной Администрацией.</w:t>
      </w:r>
    </w:p>
    <w:p w:rsidR="003733A2" w:rsidRPr="003733A2" w:rsidRDefault="003733A2" w:rsidP="003733A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реестр подлежат включению сведения о территориях общего пользования муниципального образования «Ольховатскийсельсовет»Поныровского района, используемых для рекреационных целей неограниченным кругом лиц (парки, сады, скверы, бульвары, набережные и другие рекреационно</w:t>
      </w:r>
      <w:r w:rsidRPr="003733A2">
        <w:rPr>
          <w:rFonts w:ascii="Tahoma" w:eastAsia="Times New Roman" w:hAnsi="Tahoma" w:cs="Tahoma"/>
          <w:color w:val="000000"/>
          <w:sz w:val="18"/>
          <w:szCs w:val="18"/>
          <w:lang w:eastAsia="ru-RU"/>
        </w:rPr>
        <w:softHyphen/>
        <w:t>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а) по результатам проведенной Администрацией инвентаризации;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б) по предложениям органов государственной власти;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3733A2" w:rsidRPr="003733A2" w:rsidRDefault="003733A2" w:rsidP="003733A2">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Статья 4. Вырубка (снос) зеленых насаждений.</w:t>
      </w:r>
    </w:p>
    <w:p w:rsidR="003733A2" w:rsidRPr="003733A2" w:rsidRDefault="003733A2" w:rsidP="003733A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3)     устранение нарушений нормативных правовых актов и технических норм в области обеспечения безопасности дорожного движения;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lastRenderedPageBreak/>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5)     осуществление оздоровительных рубок, проводимых по результатам обследования зеленого фонда;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6)    осуществление вырубки (сноса) зеленых насаждений, расположенных в границах полос отвода (охранных зон) линейных объектов.</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Срок действия разрешения составляет один год с даты его выдачи.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1)  заявления, в котором указываются: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2)      документов, подтверждающих в соответствии с законодательством Российской Федерации 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7)            копии платежного поручения о перечислении в бюджет муниципального образования «Ольховатскийсельсовет»Поныровского районасуммы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3733A2" w:rsidRPr="003733A2" w:rsidRDefault="003733A2" w:rsidP="003733A2">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Обследование территории зеленого фонда по инициативе Администрации осуществляется в порядке, предусмотренном статьей 5 Положения.</w:t>
      </w:r>
    </w:p>
    <w:p w:rsidR="003733A2" w:rsidRPr="003733A2" w:rsidRDefault="003733A2" w:rsidP="003733A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3733A2" w:rsidRPr="003733A2" w:rsidRDefault="003733A2" w:rsidP="003733A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Вырубка зеленых насаждений осуществляется с выплатой компенсационной стоимости.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3733A2" w:rsidRPr="003733A2" w:rsidRDefault="003733A2" w:rsidP="003733A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3733A2" w:rsidRPr="003733A2" w:rsidRDefault="003733A2" w:rsidP="003733A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lastRenderedPageBreak/>
        <w:t>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3733A2" w:rsidRPr="003733A2" w:rsidRDefault="003733A2" w:rsidP="003733A2">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Состав комиссии формируется Администрацией.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Статья 5. Охрана зеленых насаждений.</w:t>
      </w:r>
    </w:p>
    <w:p w:rsidR="003733A2" w:rsidRPr="003733A2" w:rsidRDefault="003733A2" w:rsidP="003733A2">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Охране подлежат все зеленые насаждения, расположенные в населенных пунктах и вне населенных пунктов муниципального образования«Ольховатскийсельсовет»Поныровского района, за исключением территорий, на которые действие Положения не распространяется.</w:t>
      </w:r>
    </w:p>
    <w:p w:rsidR="003733A2" w:rsidRPr="003733A2" w:rsidRDefault="003733A2" w:rsidP="003733A2">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3733A2" w:rsidRPr="003733A2" w:rsidRDefault="003733A2" w:rsidP="003733A2">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Администрация организовывает проведение плановой оценки зеленого фонда муниципального образования.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3733A2" w:rsidRPr="003733A2" w:rsidRDefault="003733A2" w:rsidP="003733A2">
      <w:pPr>
        <w:numPr>
          <w:ilvl w:val="0"/>
          <w:numId w:val="11"/>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Статья 6. Компенсационная стоимость.</w:t>
      </w:r>
    </w:p>
    <w:p w:rsidR="003733A2" w:rsidRPr="003733A2" w:rsidRDefault="003733A2" w:rsidP="003733A2">
      <w:pPr>
        <w:numPr>
          <w:ilvl w:val="0"/>
          <w:numId w:val="12"/>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3733A2" w:rsidRPr="003733A2" w:rsidRDefault="003733A2" w:rsidP="003733A2">
      <w:pPr>
        <w:numPr>
          <w:ilvl w:val="0"/>
          <w:numId w:val="12"/>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3733A2" w:rsidRPr="003733A2" w:rsidRDefault="003733A2" w:rsidP="003733A2">
      <w:pPr>
        <w:numPr>
          <w:ilvl w:val="0"/>
          <w:numId w:val="12"/>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Сумма компенсационной стоимости определяется по методике,</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утвержденной Администрацией.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7.  Компенсационное озеленение.</w:t>
      </w:r>
    </w:p>
    <w:p w:rsidR="003733A2" w:rsidRPr="003733A2" w:rsidRDefault="003733A2" w:rsidP="003733A2">
      <w:pPr>
        <w:numPr>
          <w:ilvl w:val="0"/>
          <w:numId w:val="13"/>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lastRenderedPageBreak/>
        <w:t>Компенсационное озеленение производится в объеме в местах, согласованных с Администрацией до подачи заявления на предоставление разрешения.</w:t>
      </w:r>
    </w:p>
    <w:p w:rsidR="003733A2" w:rsidRPr="003733A2" w:rsidRDefault="003733A2" w:rsidP="003733A2">
      <w:pPr>
        <w:numPr>
          <w:ilvl w:val="0"/>
          <w:numId w:val="13"/>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3733A2" w:rsidRPr="003733A2" w:rsidRDefault="003733A2" w:rsidP="003733A2">
      <w:pPr>
        <w:numPr>
          <w:ilvl w:val="0"/>
          <w:numId w:val="14"/>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3733A2" w:rsidRPr="003733A2" w:rsidRDefault="003733A2" w:rsidP="003733A2">
      <w:pPr>
        <w:numPr>
          <w:ilvl w:val="0"/>
          <w:numId w:val="15"/>
        </w:numPr>
        <w:shd w:val="clear" w:color="auto" w:fill="EEEEEE"/>
        <w:spacing w:after="0" w:line="240" w:lineRule="auto"/>
        <w:ind w:left="0"/>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3733A2" w:rsidRPr="003733A2" w:rsidRDefault="003733A2" w:rsidP="003733A2">
      <w:pPr>
        <w:shd w:val="clear" w:color="auto" w:fill="EEEEEE"/>
        <w:spacing w:after="0" w:line="240" w:lineRule="auto"/>
        <w:jc w:val="both"/>
        <w:rPr>
          <w:rFonts w:ascii="Tahoma" w:eastAsia="Times New Roman" w:hAnsi="Tahoma" w:cs="Tahoma"/>
          <w:color w:val="000000"/>
          <w:sz w:val="18"/>
          <w:szCs w:val="18"/>
          <w:lang w:eastAsia="ru-RU"/>
        </w:rPr>
      </w:pPr>
      <w:r w:rsidRPr="003733A2">
        <w:rPr>
          <w:rFonts w:ascii="Tahoma" w:eastAsia="Times New Roman" w:hAnsi="Tahoma" w:cs="Tahoma"/>
          <w:color w:val="000000"/>
          <w:sz w:val="18"/>
          <w:szCs w:val="18"/>
          <w:lang w:eastAsia="ru-RU"/>
        </w:rPr>
        <w:t> </w:t>
      </w:r>
    </w:p>
    <w:p w:rsidR="004560CF" w:rsidRPr="003733A2" w:rsidRDefault="004560CF" w:rsidP="003733A2">
      <w:bookmarkStart w:id="0" w:name="_GoBack"/>
      <w:bookmarkEnd w:id="0"/>
    </w:p>
    <w:sectPr w:rsidR="004560CF" w:rsidRPr="00373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2FF"/>
    <w:multiLevelType w:val="multilevel"/>
    <w:tmpl w:val="6C1E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F3528"/>
    <w:multiLevelType w:val="multilevel"/>
    <w:tmpl w:val="F71E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3231F"/>
    <w:multiLevelType w:val="multilevel"/>
    <w:tmpl w:val="17EA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992A32"/>
    <w:multiLevelType w:val="multilevel"/>
    <w:tmpl w:val="153C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CF0C0D"/>
    <w:multiLevelType w:val="multilevel"/>
    <w:tmpl w:val="F770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2E1913"/>
    <w:multiLevelType w:val="multilevel"/>
    <w:tmpl w:val="3106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B37F5"/>
    <w:multiLevelType w:val="multilevel"/>
    <w:tmpl w:val="CE4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52910"/>
    <w:multiLevelType w:val="multilevel"/>
    <w:tmpl w:val="0B7A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B5282F"/>
    <w:multiLevelType w:val="multilevel"/>
    <w:tmpl w:val="BE2A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F2D33"/>
    <w:multiLevelType w:val="multilevel"/>
    <w:tmpl w:val="6038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1750D8"/>
    <w:multiLevelType w:val="multilevel"/>
    <w:tmpl w:val="7DBC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336DAC"/>
    <w:multiLevelType w:val="multilevel"/>
    <w:tmpl w:val="5180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501A42"/>
    <w:multiLevelType w:val="multilevel"/>
    <w:tmpl w:val="0304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722A14"/>
    <w:multiLevelType w:val="multilevel"/>
    <w:tmpl w:val="1A2E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485B23"/>
    <w:multiLevelType w:val="multilevel"/>
    <w:tmpl w:val="1632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12"/>
  </w:num>
  <w:num w:numId="5">
    <w:abstractNumId w:val="5"/>
  </w:num>
  <w:num w:numId="6">
    <w:abstractNumId w:val="13"/>
  </w:num>
  <w:num w:numId="7">
    <w:abstractNumId w:val="1"/>
  </w:num>
  <w:num w:numId="8">
    <w:abstractNumId w:val="11"/>
  </w:num>
  <w:num w:numId="9">
    <w:abstractNumId w:val="3"/>
  </w:num>
  <w:num w:numId="10">
    <w:abstractNumId w:val="14"/>
  </w:num>
  <w:num w:numId="11">
    <w:abstractNumId w:val="8"/>
  </w:num>
  <w:num w:numId="12">
    <w:abstractNumId w:val="9"/>
  </w:num>
  <w:num w:numId="13">
    <w:abstractNumId w:val="6"/>
  </w:num>
  <w:num w:numId="14">
    <w:abstractNumId w:val="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111ED8"/>
    <w:rsid w:val="00135FAB"/>
    <w:rsid w:val="00150E9A"/>
    <w:rsid w:val="00171172"/>
    <w:rsid w:val="001810BE"/>
    <w:rsid w:val="001A463D"/>
    <w:rsid w:val="001B0A86"/>
    <w:rsid w:val="001D15FE"/>
    <w:rsid w:val="001E1085"/>
    <w:rsid w:val="001E33D9"/>
    <w:rsid w:val="00210EE1"/>
    <w:rsid w:val="0024341E"/>
    <w:rsid w:val="00254B08"/>
    <w:rsid w:val="002A4890"/>
    <w:rsid w:val="002E2A41"/>
    <w:rsid w:val="00303139"/>
    <w:rsid w:val="00306A09"/>
    <w:rsid w:val="00337F30"/>
    <w:rsid w:val="003733A2"/>
    <w:rsid w:val="00414E31"/>
    <w:rsid w:val="0044767F"/>
    <w:rsid w:val="004560CF"/>
    <w:rsid w:val="0046099D"/>
    <w:rsid w:val="004C262D"/>
    <w:rsid w:val="004D19A6"/>
    <w:rsid w:val="004D535F"/>
    <w:rsid w:val="004E58A2"/>
    <w:rsid w:val="004E7BC9"/>
    <w:rsid w:val="00524D82"/>
    <w:rsid w:val="00525032"/>
    <w:rsid w:val="00553E81"/>
    <w:rsid w:val="00564D4B"/>
    <w:rsid w:val="00597236"/>
    <w:rsid w:val="005A78E9"/>
    <w:rsid w:val="005D75D5"/>
    <w:rsid w:val="00632C5A"/>
    <w:rsid w:val="00667BFD"/>
    <w:rsid w:val="006911A3"/>
    <w:rsid w:val="006F0E8C"/>
    <w:rsid w:val="007110AB"/>
    <w:rsid w:val="0073102C"/>
    <w:rsid w:val="007B3B74"/>
    <w:rsid w:val="007C5B73"/>
    <w:rsid w:val="007F7A2B"/>
    <w:rsid w:val="00804B80"/>
    <w:rsid w:val="008A0936"/>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AD3"/>
    <w:rsid w:val="00B954A0"/>
    <w:rsid w:val="00BC08EC"/>
    <w:rsid w:val="00BD44B6"/>
    <w:rsid w:val="00BF4EA1"/>
    <w:rsid w:val="00C51F1D"/>
    <w:rsid w:val="00C603FD"/>
    <w:rsid w:val="00C80F21"/>
    <w:rsid w:val="00C904E6"/>
    <w:rsid w:val="00C939C4"/>
    <w:rsid w:val="00CD5BFB"/>
    <w:rsid w:val="00CD7C2A"/>
    <w:rsid w:val="00CE635A"/>
    <w:rsid w:val="00CE709D"/>
    <w:rsid w:val="00CF2355"/>
    <w:rsid w:val="00D26A1F"/>
    <w:rsid w:val="00D4029D"/>
    <w:rsid w:val="00D82129"/>
    <w:rsid w:val="00DA40EE"/>
    <w:rsid w:val="00DB6AED"/>
    <w:rsid w:val="00DE27C1"/>
    <w:rsid w:val="00DF7D30"/>
    <w:rsid w:val="00E04CFF"/>
    <w:rsid w:val="00E27A24"/>
    <w:rsid w:val="00E3361A"/>
    <w:rsid w:val="00E739E4"/>
    <w:rsid w:val="00E942C9"/>
    <w:rsid w:val="00EA75F3"/>
    <w:rsid w:val="00EC6B54"/>
    <w:rsid w:val="00ED1B3E"/>
    <w:rsid w:val="00F100D0"/>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3245</Words>
  <Characters>18500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97</cp:revision>
  <dcterms:created xsi:type="dcterms:W3CDTF">2023-09-10T14:40:00Z</dcterms:created>
  <dcterms:modified xsi:type="dcterms:W3CDTF">2023-09-10T17:07:00Z</dcterms:modified>
</cp:coreProperties>
</file>